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24" w:rsidRP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Allopurinol: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indicated for the treatment of acute gout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Interacts with oral anticoagulants 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May also be used in the treatment of cataracts</w:t>
      </w:r>
    </w:p>
    <w:p w:rsidR="00F035AF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Increases urinary excretion of uric acid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Katzung 11th Edition pg 639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P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Aspirin in appropriate doses: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Yields peak plasma salicylate levels within 6 hours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Decreases the formation of prostaglandins 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Reversibly blocks the enzyme cyclo-oxygenase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Increases the formation of thromboxane A2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>. Katzung 11th Edition pg 622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P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Aspirin: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Toxicity will be enhanced by acetazolamide 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Increases the activity of spironolactone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Decreases the plasma level of phenytoin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Enhances the uricosuric effect of probenecid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Katzung 11th Edition pg 1149 table 66-1</w:t>
      </w:r>
      <w:r>
        <w:rPr>
          <w:rFonts w:ascii="Helvetica" w:hAnsi="Helvetica" w:cs="Helvetica"/>
          <w:color w:val="313131"/>
          <w:sz w:val="26"/>
          <w:szCs w:val="26"/>
        </w:rPr>
        <w:t>. Can cause severe metabolic acidosis, and enhance salicylate tissue penetration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P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paracetamol poisoning, which does NOT predispose to hepatotoxicity?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Chronic alcohol abuse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Malnutrition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Oral cimetidine therapy for peptic ulcer disease 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Oral anticonvulsant therapy for epilepsy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Katzung 11th Edition pg 1020</w:t>
      </w:r>
    </w:p>
    <w:p w:rsidR="003A1E24" w:rsidRDefault="003A1E24" w:rsidP="003A1E24"/>
    <w:p w:rsidR="003A1E24" w:rsidRP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paracetamol poisoning: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Cytochrome p450 is unimportant in paracetamol metabolism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N acetylcysteine directly binds paracetamol in vitro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Poisoning is unlikely in liver disease</w:t>
      </w:r>
    </w:p>
    <w:p w:rsidR="003A1E24" w:rsidRDefault="003A1E24" w:rsidP="003A1E24">
      <w:pPr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Toxicity is increased in glutathione deficiency </w:t>
      </w:r>
    </w:p>
    <w:p w:rsidR="003A1E24" w:rsidRDefault="003A1E24" w:rsidP="003A1E24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Katzung 11th Edition pg 1020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P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Overdoses of salicylates lead to all of the following effects EXCEPT: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Metabolic alkalosis 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Tinnitus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Nausea and vomiting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Marked hyperventilation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Katzung 11th Edition pg 1021</w:t>
      </w:r>
      <w:r>
        <w:rPr>
          <w:rFonts w:ascii="Helvetica" w:hAnsi="Helvetica" w:cs="Helvetica"/>
          <w:color w:val="313131"/>
          <w:sz w:val="26"/>
          <w:szCs w:val="26"/>
        </w:rPr>
        <w:t xml:space="preserve"> Leads to respiratory alkalosis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3A1E24" w:rsidRDefault="003A1E24" w:rsidP="003A1E24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aspirin, which of the following is correct?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blocks the CNS response to interleukin I 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slowly absorbed in the ileum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a base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a selective inhibitor of cyclo-oxygenase II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Katzung 11th Edition pg 622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3A1E24" w:rsidRDefault="003A1E24" w:rsidP="003A1E24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colchicine: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has no role in prophylaxis against gout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Acute toxicity causes haemorrhagic enteritis 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mainly excreted in the urine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acts in gout by increasing the renal excretion of urate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Katzung 11th Edition pg 637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3A1E24" w:rsidRDefault="003A1E24" w:rsidP="003A1E24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non steroidal anti-inflammatory drugs (NSAIDS):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Sulindac has a short duration of action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They commonly cause psychosis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They may impair the hypotensive effects of ACE inhibitors 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About 50 % of patients develop adverse effects from aspirin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Katzung 11th Edition pg 624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Default="003A1E24" w:rsidP="003A1E24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3A1E24" w:rsidRDefault="003A1E24" w:rsidP="003A1E24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paracetamol: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more than 30 % excreted in the urine unchanged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Its half life is increased in renal failure</w:t>
      </w:r>
    </w:p>
    <w:p w:rsidR="003A1E24" w:rsidRDefault="003A1E24" w:rsidP="003A1E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Its absorption is related to the rate of gastric emptying 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antagonises the effects of uricosuric agents</w:t>
      </w:r>
    </w:p>
    <w:p w:rsidR="003A1E24" w:rsidRDefault="003A1E24" w:rsidP="003A1E24">
      <w:pPr>
        <w:rPr>
          <w:rFonts w:ascii="Helvetica" w:hAnsi="Helvetica" w:cs="Helvetica"/>
          <w:color w:val="313131"/>
          <w:sz w:val="26"/>
          <w:szCs w:val="26"/>
        </w:rPr>
      </w:pPr>
    </w:p>
    <w:p w:rsidR="003A1E24" w:rsidRPr="003A1E24" w:rsidRDefault="003A1E24" w:rsidP="003A1E24">
      <w:pPr>
        <w:rPr>
          <w:b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>Katzung 11th Edition pg 635</w:t>
      </w:r>
    </w:p>
    <w:sectPr w:rsidR="003A1E24" w:rsidRPr="003A1E24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24" w:rsidRDefault="003A1E24" w:rsidP="003A1E24">
      <w:r>
        <w:separator/>
      </w:r>
    </w:p>
  </w:endnote>
  <w:endnote w:type="continuationSeparator" w:id="0">
    <w:p w:rsidR="003A1E24" w:rsidRDefault="003A1E24" w:rsidP="003A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4" w:rsidRDefault="003A1E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4" w:rsidRDefault="003A1E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4" w:rsidRDefault="003A1E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24" w:rsidRDefault="003A1E24" w:rsidP="003A1E24">
      <w:r>
        <w:separator/>
      </w:r>
    </w:p>
  </w:footnote>
  <w:footnote w:type="continuationSeparator" w:id="0">
    <w:p w:rsidR="003A1E24" w:rsidRDefault="003A1E24" w:rsidP="003A1E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4" w:rsidRDefault="003A1E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4" w:rsidRDefault="003A1E24">
    <w:pPr>
      <w:pStyle w:val="Header"/>
    </w:pPr>
    <w:r>
      <w:tab/>
    </w:r>
    <w:r>
      <w:tab/>
      <w:t>HETI Pharmacology 28 – NSAIDS, Gout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4" w:rsidRDefault="003A1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24"/>
    <w:rsid w:val="003A1E24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24"/>
  </w:style>
  <w:style w:type="paragraph" w:styleId="Footer">
    <w:name w:val="footer"/>
    <w:basedOn w:val="Normal"/>
    <w:link w:val="FooterChar"/>
    <w:uiPriority w:val="99"/>
    <w:unhideWhenUsed/>
    <w:rsid w:val="003A1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24"/>
  </w:style>
  <w:style w:type="paragraph" w:styleId="Footer">
    <w:name w:val="footer"/>
    <w:basedOn w:val="Normal"/>
    <w:link w:val="FooterChar"/>
    <w:uiPriority w:val="99"/>
    <w:unhideWhenUsed/>
    <w:rsid w:val="003A1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432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2017-07-31T23:45:00Z</dcterms:created>
  <dcterms:modified xsi:type="dcterms:W3CDTF">2017-07-31T23:55:00Z</dcterms:modified>
</cp:coreProperties>
</file>